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B9" w:rsidRDefault="00995CB9" w:rsidP="00995CB9">
      <w:pPr>
        <w:ind w:left="5529"/>
        <w:rPr>
          <w:bCs/>
        </w:rPr>
      </w:pPr>
      <w:r>
        <w:rPr>
          <w:bCs/>
        </w:rPr>
        <w:t>Приложение №1</w:t>
      </w:r>
    </w:p>
    <w:p w:rsidR="00995CB9" w:rsidRDefault="00995CB9" w:rsidP="00995CB9">
      <w:pPr>
        <w:ind w:left="5529"/>
        <w:rPr>
          <w:bCs/>
        </w:rPr>
      </w:pPr>
      <w:r>
        <w:rPr>
          <w:bCs/>
        </w:rPr>
        <w:t xml:space="preserve">к приказу АО «СХК» </w:t>
      </w:r>
    </w:p>
    <w:p w:rsidR="00995CB9" w:rsidRDefault="00995CB9" w:rsidP="00995CB9">
      <w:pPr>
        <w:ind w:left="5529"/>
        <w:rPr>
          <w:bCs/>
        </w:rPr>
      </w:pPr>
      <w:r>
        <w:rPr>
          <w:bCs/>
        </w:rPr>
        <w:t>от ________ № ____________</w:t>
      </w:r>
    </w:p>
    <w:p w:rsidR="00995CB9" w:rsidRDefault="00995CB9" w:rsidP="00995CB9"/>
    <w:p w:rsidR="00995CB9" w:rsidRDefault="00995CB9" w:rsidP="00995CB9">
      <w:pPr>
        <w:pStyle w:val="1"/>
        <w:numPr>
          <w:ilvl w:val="0"/>
          <w:numId w:val="0"/>
        </w:numPr>
        <w:spacing w:before="0"/>
        <w:jc w:val="center"/>
        <w:rPr>
          <w:rFonts w:ascii="Times New Roman" w:hAnsi="Times New Roman"/>
          <w:color w:val="auto"/>
          <w:sz w:val="24"/>
          <w:szCs w:val="24"/>
        </w:rPr>
      </w:pPr>
      <w:bookmarkStart w:id="0" w:name="_Toc455654071"/>
      <w:bookmarkStart w:id="1" w:name="_Toc454291667"/>
      <w:bookmarkStart w:id="2" w:name="_Toc452645160"/>
      <w:bookmarkStart w:id="3" w:name="_Toc449454643"/>
      <w:r>
        <w:rPr>
          <w:rFonts w:ascii="Times New Roman" w:hAnsi="Times New Roman"/>
          <w:color w:val="auto"/>
          <w:sz w:val="24"/>
          <w:szCs w:val="24"/>
        </w:rPr>
        <w:t xml:space="preserve">Соглашение </w:t>
      </w:r>
    </w:p>
    <w:p w:rsidR="00995CB9" w:rsidRDefault="00995CB9" w:rsidP="00995CB9">
      <w:pPr>
        <w:pStyle w:val="1"/>
        <w:numPr>
          <w:ilvl w:val="0"/>
          <w:numId w:val="0"/>
        </w:numPr>
        <w:spacing w:before="0"/>
        <w:jc w:val="center"/>
        <w:rPr>
          <w:rFonts w:ascii="Times New Roman" w:hAnsi="Times New Roman"/>
          <w:bCs w:val="0"/>
          <w:color w:val="auto"/>
          <w:sz w:val="24"/>
          <w:szCs w:val="24"/>
        </w:rPr>
      </w:pPr>
      <w:r>
        <w:rPr>
          <w:rFonts w:ascii="Times New Roman" w:hAnsi="Times New Roman"/>
          <w:bCs w:val="0"/>
          <w:color w:val="auto"/>
          <w:sz w:val="24"/>
          <w:szCs w:val="24"/>
        </w:rPr>
        <w:t>о конфиденциальности и неразглашении информации,</w:t>
      </w:r>
    </w:p>
    <w:p w:rsidR="00995CB9" w:rsidRDefault="00995CB9" w:rsidP="00995CB9">
      <w:pPr>
        <w:pStyle w:val="1"/>
        <w:numPr>
          <w:ilvl w:val="0"/>
          <w:numId w:val="0"/>
        </w:numPr>
        <w:spacing w:before="0"/>
        <w:jc w:val="center"/>
        <w:rPr>
          <w:rFonts w:ascii="Times New Roman" w:hAnsi="Times New Roman"/>
          <w:bCs w:val="0"/>
          <w:color w:val="auto"/>
          <w:sz w:val="24"/>
          <w:szCs w:val="24"/>
        </w:rPr>
      </w:pPr>
      <w:r>
        <w:rPr>
          <w:rFonts w:ascii="Times New Roman" w:hAnsi="Times New Roman"/>
          <w:bCs w:val="0"/>
          <w:color w:val="auto"/>
          <w:sz w:val="24"/>
          <w:szCs w:val="24"/>
        </w:rPr>
        <w:t xml:space="preserve"> составляющей коммерческую тайну</w:t>
      </w:r>
      <w:bookmarkEnd w:id="0"/>
      <w:bookmarkEnd w:id="1"/>
      <w:bookmarkEnd w:id="2"/>
      <w:bookmarkEnd w:id="3"/>
    </w:p>
    <w:p w:rsidR="00995CB9" w:rsidRDefault="00995CB9" w:rsidP="00995CB9">
      <w:pPr>
        <w:spacing w:after="120"/>
        <w:jc w:val="both"/>
        <w:rPr>
          <w:bCs/>
        </w:rPr>
      </w:pPr>
    </w:p>
    <w:p w:rsidR="00995CB9" w:rsidRDefault="00995CB9" w:rsidP="00995CB9">
      <w:pPr>
        <w:jc w:val="both"/>
        <w:rPr>
          <w:bCs/>
        </w:rPr>
      </w:pPr>
      <w:r>
        <w:rPr>
          <w:bCs/>
        </w:rPr>
        <w:t xml:space="preserve">Акционерное общество «Сибирский химический комбинат» (далее – АО «СХК»), именуемое в дальнейшем «Передающая сторона», в лице </w:t>
      </w:r>
      <w:r>
        <w:t xml:space="preserve">________________________________________________ </w:t>
      </w:r>
      <w:r>
        <w:rPr>
          <w:highlight w:val="lightGray"/>
        </w:rPr>
        <w:t>[</w:t>
      </w:r>
      <w:r>
        <w:rPr>
          <w:i/>
          <w:highlight w:val="lightGray"/>
        </w:rPr>
        <w:t xml:space="preserve">указывается лицо, ответственное за принятие решения о составе, объеме, порядке передачи и использования  информации, составляющей коммерческую тайну и уполномоченное заключать Соглашение от </w:t>
      </w:r>
      <w:r>
        <w:rPr>
          <w:i/>
          <w:highlight w:val="lightGray"/>
        </w:rPr>
        <w:br w:type="textWrapping" w:clear="all"/>
        <w:t>АО «СХК»</w:t>
      </w:r>
      <w:r>
        <w:rPr>
          <w:highlight w:val="lightGray"/>
        </w:rPr>
        <w:t>]</w:t>
      </w:r>
      <w:r>
        <w:rPr>
          <w:i/>
        </w:rPr>
        <w:t>,</w:t>
      </w:r>
      <w:r>
        <w:rPr>
          <w:bCs/>
        </w:rPr>
        <w:t xml:space="preserve"> действующего на основании _____________, с одной стороны и ______________________________, именуемое в дальнейшем «Принимающая сторона», в лице __________________, действующего на основании _____________________, с другой стороны, а вместе и далее по тексту – «Стороны», заключили настоящий договор, именуемый в дальнейшем «Договор», о нижеследующем:</w:t>
      </w:r>
    </w:p>
    <w:p w:rsidR="00995CB9" w:rsidRDefault="00995CB9" w:rsidP="00995CB9">
      <w:pPr>
        <w:jc w:val="both"/>
        <w:rPr>
          <w:bCs/>
          <w:i/>
        </w:rPr>
      </w:pPr>
    </w:p>
    <w:p w:rsidR="00995CB9" w:rsidRDefault="00995CB9" w:rsidP="00995CB9">
      <w:pPr>
        <w:jc w:val="center"/>
        <w:rPr>
          <w:b/>
          <w:bCs/>
        </w:rPr>
      </w:pPr>
      <w:r>
        <w:rPr>
          <w:b/>
          <w:bCs/>
        </w:rPr>
        <w:t xml:space="preserve">1. Предмет Соглашения </w:t>
      </w:r>
    </w:p>
    <w:p w:rsidR="00995CB9" w:rsidRDefault="00995CB9" w:rsidP="00995CB9">
      <w:pPr>
        <w:jc w:val="center"/>
        <w:rPr>
          <w:bCs/>
          <w:i/>
        </w:rPr>
      </w:pPr>
    </w:p>
    <w:p w:rsidR="00995CB9" w:rsidRDefault="00995CB9" w:rsidP="00995CB9">
      <w:pPr>
        <w:ind w:firstLine="720"/>
        <w:jc w:val="both"/>
        <w:rPr>
          <w:bCs/>
        </w:rPr>
      </w:pPr>
      <w:r>
        <w:rPr>
          <w:bCs/>
        </w:rPr>
        <w:t>1.1.</w:t>
      </w:r>
      <w:r>
        <w:rPr>
          <w:bCs/>
          <w:lang w:val="en-US"/>
        </w:rPr>
        <w:t> </w:t>
      </w:r>
      <w:r>
        <w:rPr>
          <w:bCs/>
        </w:rPr>
        <w:t>Передающей стороной или Принимающей стороной может являться каждая из Сторон настоящего Соглашения.</w:t>
      </w:r>
    </w:p>
    <w:p w:rsidR="00995CB9" w:rsidRDefault="00995CB9" w:rsidP="00995CB9">
      <w:pPr>
        <w:ind w:firstLine="720"/>
        <w:jc w:val="both"/>
        <w:rPr>
          <w:bCs/>
          <w:u w:val="single"/>
        </w:rPr>
      </w:pPr>
      <w:r>
        <w:rPr>
          <w:bCs/>
        </w:rPr>
        <w:t>1.2. 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предполагаемых к заключению договоров, предметом Соглашения являются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995CB9" w:rsidRDefault="00995CB9" w:rsidP="00995CB9">
      <w:pPr>
        <w:ind w:firstLine="720"/>
        <w:jc w:val="both"/>
        <w:rPr>
          <w:bCs/>
        </w:rPr>
      </w:pPr>
      <w:r>
        <w:rPr>
          <w:bCs/>
        </w:rPr>
        <w:t>1.3. 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ее обладателя, места его нахо</w:t>
      </w:r>
      <w:bookmarkStart w:id="4" w:name="_GoBack"/>
      <w:r>
        <w:rPr>
          <w:bCs/>
        </w:rPr>
        <w:t>ж</w:t>
      </w:r>
      <w:bookmarkEnd w:id="4"/>
      <w:r>
        <w:rPr>
          <w:bCs/>
        </w:rPr>
        <w:t>дения и иных реквизитов, необходимых для идентификации носителя, что в совокупности является необходимым и достаточным условием для распространения условий Соглашения на информацию, зафиксированную на таком носителе.</w:t>
      </w:r>
    </w:p>
    <w:p w:rsidR="00995CB9" w:rsidRDefault="00995CB9" w:rsidP="00995CB9">
      <w:pPr>
        <w:ind w:firstLine="720"/>
        <w:jc w:val="both"/>
        <w:rPr>
          <w:bCs/>
        </w:rPr>
      </w:pPr>
      <w:r>
        <w:rPr>
          <w:bCs/>
        </w:rPr>
        <w:t>1.4. 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995CB9" w:rsidRDefault="00995CB9" w:rsidP="00995CB9">
      <w:pPr>
        <w:ind w:firstLine="720"/>
        <w:jc w:val="both"/>
        <w:rPr>
          <w:bCs/>
        </w:rPr>
      </w:pPr>
    </w:p>
    <w:p w:rsidR="00995CB9" w:rsidRDefault="00995CB9" w:rsidP="00995CB9">
      <w:pPr>
        <w:jc w:val="center"/>
        <w:rPr>
          <w:b/>
          <w:bCs/>
        </w:rPr>
      </w:pPr>
      <w:r>
        <w:rPr>
          <w:b/>
          <w:bCs/>
        </w:rPr>
        <w:t>2. Передача информации, составляющей коммерческую тайну</w:t>
      </w:r>
    </w:p>
    <w:p w:rsidR="00995CB9" w:rsidRDefault="00995CB9" w:rsidP="00995CB9">
      <w:pPr>
        <w:jc w:val="center"/>
        <w:rPr>
          <w:b/>
          <w:bCs/>
        </w:rPr>
      </w:pPr>
    </w:p>
    <w:p w:rsidR="00995CB9" w:rsidRDefault="00995CB9" w:rsidP="00995CB9">
      <w:pPr>
        <w:ind w:firstLine="720"/>
        <w:jc w:val="both"/>
        <w:rPr>
          <w:bCs/>
        </w:rPr>
      </w:pPr>
      <w:r>
        <w:rPr>
          <w:bCs/>
        </w:rPr>
        <w:t>2.1.</w:t>
      </w:r>
      <w:r>
        <w:rPr>
          <w:bCs/>
        </w:rPr>
        <w:tab/>
        <w:t>Право принятия решения на передачу информации, составляющей коммерческую тайну, принадлежит Передающей стороне.</w:t>
      </w:r>
    </w:p>
    <w:p w:rsidR="00995CB9" w:rsidRDefault="00995CB9" w:rsidP="00995CB9">
      <w:pPr>
        <w:tabs>
          <w:tab w:val="left" w:pos="1080"/>
          <w:tab w:val="num" w:pos="1260"/>
        </w:tabs>
        <w:ind w:firstLine="709"/>
        <w:jc w:val="both"/>
      </w:pPr>
      <w:r>
        <w:rPr>
          <w:bCs/>
        </w:rPr>
        <w:t>2.2.</w:t>
      </w:r>
      <w:r>
        <w:rPr>
          <w:bCs/>
        </w:rPr>
        <w:tab/>
      </w:r>
      <w:r>
        <w:rPr>
          <w:bCs/>
        </w:rPr>
        <w:tab/>
      </w:r>
      <w:r>
        <w:rPr>
          <w:bCs/>
        </w:rPr>
        <w:tab/>
      </w:r>
      <w:r>
        <w:t xml:space="preserve">Для приема-передачи информации, составляющей коммерческую тайну, между Сторонами могут использоваться каналы передачи данных с применением средств </w:t>
      </w:r>
      <w:r>
        <w:lastRenderedPageBreak/>
        <w:t>криптографической защиты информации, сертифицированных в соответствии с требованиями соответствующих нормативных документов.</w:t>
      </w:r>
    </w:p>
    <w:p w:rsidR="00995CB9" w:rsidRDefault="00995CB9" w:rsidP="00995CB9">
      <w:pPr>
        <w:tabs>
          <w:tab w:val="left" w:pos="1080"/>
          <w:tab w:val="num" w:pos="1260"/>
        </w:tabs>
        <w:ind w:firstLine="709"/>
        <w:jc w:val="both"/>
      </w:pPr>
      <w:r>
        <w:t xml:space="preserve">Передачу информации, составляющей коммерческую тайну посредством ведомственной защищенной почты </w:t>
      </w:r>
      <w:r>
        <w:rPr>
          <w:lang w:val="en-US"/>
        </w:rPr>
        <w:t>ViPNet</w:t>
      </w:r>
      <w:r>
        <w:t xml:space="preserve"> в АО «СХК» осуществлять на абонентский пункт «</w:t>
      </w:r>
      <w:r w:rsidR="00B6766D">
        <w:rPr>
          <w:color w:val="000000"/>
        </w:rPr>
        <w:t>АО</w:t>
      </w:r>
      <w:r w:rsidR="00B6766D" w:rsidRPr="00140A51">
        <w:rPr>
          <w:color w:val="000000"/>
        </w:rPr>
        <w:t xml:space="preserve"> </w:t>
      </w:r>
      <w:r w:rsidR="00B6766D">
        <w:rPr>
          <w:color w:val="000000"/>
        </w:rPr>
        <w:t>СХК</w:t>
      </w:r>
      <w:r w:rsidR="00B6766D" w:rsidRPr="00140A51">
        <w:rPr>
          <w:color w:val="000000"/>
        </w:rPr>
        <w:t xml:space="preserve"> </w:t>
      </w:r>
      <w:r w:rsidR="00B6766D">
        <w:rPr>
          <w:color w:val="000000"/>
        </w:rPr>
        <w:t>Северск</w:t>
      </w:r>
      <w:r w:rsidR="00B6766D" w:rsidRPr="00140A51">
        <w:rPr>
          <w:color w:val="000000"/>
        </w:rPr>
        <w:t xml:space="preserve"> </w:t>
      </w:r>
      <w:r w:rsidR="00B6766D">
        <w:rPr>
          <w:color w:val="000000"/>
        </w:rPr>
        <w:t>Чикова Т.П.(ОДО) 0011</w:t>
      </w:r>
      <w:r>
        <w:t>»</w:t>
      </w:r>
      <w:r w:rsidR="008B7CA8">
        <w:t xml:space="preserve"> (сеть 11296)</w:t>
      </w:r>
      <w:r>
        <w:t>.</w:t>
      </w:r>
    </w:p>
    <w:p w:rsidR="00995CB9" w:rsidRDefault="00995CB9" w:rsidP="00995CB9">
      <w:pPr>
        <w:ind w:firstLine="720"/>
        <w:jc w:val="both"/>
        <w:rPr>
          <w:bCs/>
        </w:rPr>
      </w:pPr>
    </w:p>
    <w:p w:rsidR="00995CB9" w:rsidRDefault="00995CB9" w:rsidP="00995CB9">
      <w:pPr>
        <w:jc w:val="both"/>
        <w:rPr>
          <w:bCs/>
        </w:rPr>
      </w:pPr>
    </w:p>
    <w:p w:rsidR="00995CB9" w:rsidRDefault="00995CB9" w:rsidP="00995CB9">
      <w:pPr>
        <w:jc w:val="center"/>
        <w:rPr>
          <w:b/>
          <w:bCs/>
        </w:rPr>
      </w:pPr>
      <w:r>
        <w:rPr>
          <w:b/>
          <w:bCs/>
        </w:rPr>
        <w:t>3. Использование информации, составляющей коммерческую тайну</w:t>
      </w:r>
    </w:p>
    <w:p w:rsidR="00995CB9" w:rsidRDefault="00995CB9" w:rsidP="00995CB9">
      <w:pPr>
        <w:jc w:val="center"/>
        <w:rPr>
          <w:b/>
          <w:bCs/>
        </w:rPr>
      </w:pPr>
    </w:p>
    <w:p w:rsidR="00995CB9" w:rsidRDefault="00995CB9" w:rsidP="00995CB9">
      <w:pPr>
        <w:ind w:firstLine="720"/>
        <w:jc w:val="both"/>
      </w:pPr>
      <w:r>
        <w:rPr>
          <w:bCs/>
        </w:rPr>
        <w:t xml:space="preserve">3.1. Принимающая сторона вправе использовать информацию, составляющую коммерческую тайну Передающей стороны, только для целей, </w:t>
      </w:r>
      <w:proofErr w:type="gramStart"/>
      <w:r>
        <w:rPr>
          <w:bCs/>
        </w:rPr>
        <w:t>предусмотренных  _</w:t>
      </w:r>
      <w:proofErr w:type="gramEnd"/>
      <w:r>
        <w:rPr>
          <w:bCs/>
        </w:rPr>
        <w:t xml:space="preserve">_____________________________  </w:t>
      </w:r>
      <w:r>
        <w:rPr>
          <w:highlight w:val="lightGray"/>
        </w:rPr>
        <w:t>[</w:t>
      </w:r>
      <w:r w:rsidRPr="005540BE">
        <w:rPr>
          <w:b/>
          <w:i/>
          <w:highlight w:val="yellow"/>
        </w:rPr>
        <w:t>указывается основание</w:t>
      </w:r>
      <w:r w:rsidRPr="005540BE">
        <w:rPr>
          <w:i/>
          <w:highlight w:val="yellow"/>
        </w:rPr>
        <w:t>:</w:t>
      </w:r>
      <w:r w:rsidRPr="005540BE">
        <w:rPr>
          <w:highlight w:val="yellow"/>
        </w:rPr>
        <w:t xml:space="preserve"> </w:t>
      </w:r>
      <w:r>
        <w:rPr>
          <w:i/>
          <w:highlight w:val="lightGray"/>
        </w:rPr>
        <w:t>заключенный с Передающей стороной договор об оказании услуг, договор о выполнении работ, договор кредитования и иные объективные основания</w:t>
      </w:r>
      <w:r>
        <w:rPr>
          <w:highlight w:val="lightGray"/>
        </w:rPr>
        <w:t>]</w:t>
      </w:r>
      <w:r>
        <w:t>.</w:t>
      </w:r>
    </w:p>
    <w:p w:rsidR="00995CB9" w:rsidRDefault="00995CB9" w:rsidP="00995CB9">
      <w:pPr>
        <w:ind w:firstLine="720"/>
        <w:jc w:val="both"/>
        <w:rPr>
          <w:bCs/>
        </w:rPr>
      </w:pPr>
      <w:r>
        <w:rPr>
          <w:bCs/>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995CB9" w:rsidRDefault="00995CB9" w:rsidP="00995CB9">
      <w:pPr>
        <w:ind w:firstLine="720"/>
        <w:jc w:val="both"/>
        <w:rPr>
          <w:bCs/>
        </w:rPr>
      </w:pPr>
      <w:r>
        <w:rPr>
          <w:bCs/>
        </w:rPr>
        <w:t>3.2. Принимающая сторона обязуется принять достаточные меры, чтобы не допустить несанкционированный доступ к информации, составляющей коммерческую тайну Передающей стороны, или ее передачу третьим лицам с нарушением условий Соглашения, а также организовать контроль за соблюдением этих мер.</w:t>
      </w:r>
    </w:p>
    <w:p w:rsidR="00995CB9" w:rsidRDefault="00995CB9" w:rsidP="00995CB9">
      <w:pPr>
        <w:ind w:firstLine="720"/>
        <w:jc w:val="both"/>
        <w:rPr>
          <w:bCs/>
        </w:rPr>
      </w:pPr>
      <w:r>
        <w:rPr>
          <w:bCs/>
        </w:rPr>
        <w:t>3.3. 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995CB9" w:rsidRDefault="00995CB9" w:rsidP="00995CB9">
      <w:pPr>
        <w:ind w:firstLine="720"/>
        <w:jc w:val="both"/>
      </w:pPr>
      <w:r>
        <w:t>3</w:t>
      </w:r>
      <w:r>
        <w:rPr>
          <w:bCs/>
        </w:rPr>
        <w:t>.4. 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995CB9" w:rsidRDefault="00995CB9" w:rsidP="00995CB9">
      <w:pPr>
        <w:ind w:firstLine="720"/>
        <w:jc w:val="both"/>
        <w:rPr>
          <w:bCs/>
        </w:rPr>
      </w:pPr>
      <w:r>
        <w:rPr>
          <w:bCs/>
        </w:rPr>
        <w:t>3.5. 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Соглашения.</w:t>
      </w:r>
    </w:p>
    <w:p w:rsidR="00995CB9" w:rsidRDefault="00995CB9" w:rsidP="00995CB9">
      <w:pPr>
        <w:ind w:firstLine="720"/>
        <w:jc w:val="both"/>
      </w:pPr>
      <w:r>
        <w:t>3.6. 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выполнению работ по договорам с Передающей стороной, и в том объеме, в каком она им необходима для реализации условий договоров.</w:t>
      </w:r>
    </w:p>
    <w:p w:rsidR="00995CB9" w:rsidRDefault="00995CB9" w:rsidP="00995CB9">
      <w:pPr>
        <w:ind w:firstLine="720"/>
        <w:jc w:val="both"/>
      </w:pPr>
      <w:r>
        <w:t>3.7. </w:t>
      </w:r>
      <w:r w:rsidR="00722AAA">
        <w:t xml:space="preserve"> </w:t>
      </w:r>
      <w:r>
        <w:t>Передающая сторона в случае выявления нарушения требований охраны конфиденциальности информации, составляющей коммерческую тайну, вправе запрещать или приостанавливать</w:t>
      </w:r>
      <w:r w:rsidRPr="00995CB9">
        <w:t xml:space="preserve"> </w:t>
      </w:r>
      <w:r>
        <w:t>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995CB9" w:rsidRDefault="00995CB9" w:rsidP="00995CB9">
      <w:pPr>
        <w:ind w:firstLine="720"/>
        <w:jc w:val="both"/>
      </w:pPr>
      <w:r>
        <w:t>3.8. 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субъектов оперативно-розыскной деятельности в течение одного</w:t>
      </w:r>
      <w:r>
        <w:rPr>
          <w:i/>
        </w:rPr>
        <w:t xml:space="preserve"> </w:t>
      </w:r>
      <w:r>
        <w:t>рабочего дня после наступления такого события.</w:t>
      </w:r>
    </w:p>
    <w:p w:rsidR="00995CB9" w:rsidRDefault="00995CB9" w:rsidP="00995CB9">
      <w:pPr>
        <w:ind w:firstLine="720"/>
        <w:jc w:val="both"/>
      </w:pPr>
      <w:r>
        <w:lastRenderedPageBreak/>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995CB9" w:rsidRDefault="00995CB9" w:rsidP="00995CB9">
      <w:pPr>
        <w:pStyle w:val="a3"/>
        <w:ind w:left="0" w:firstLine="720"/>
        <w:jc w:val="both"/>
        <w:rPr>
          <w:bCs/>
          <w:sz w:val="24"/>
          <w:szCs w:val="24"/>
        </w:rPr>
      </w:pPr>
      <w:r>
        <w:rPr>
          <w:bCs/>
          <w:sz w:val="24"/>
          <w:szCs w:val="24"/>
        </w:rPr>
        <w:t xml:space="preserve">она была известна на законном основании Принимающей стороне до заключения настоящего </w:t>
      </w:r>
      <w:r>
        <w:rPr>
          <w:bCs/>
          <w:sz w:val="24"/>
          <w:szCs w:val="24"/>
          <w:lang w:val="ru-RU"/>
        </w:rPr>
        <w:t>Соглашения</w:t>
      </w:r>
      <w:r>
        <w:rPr>
          <w:bCs/>
          <w:sz w:val="24"/>
          <w:szCs w:val="24"/>
        </w:rPr>
        <w:t>;</w:t>
      </w:r>
    </w:p>
    <w:p w:rsidR="00995CB9" w:rsidRDefault="00995CB9" w:rsidP="00995CB9">
      <w:pPr>
        <w:pStyle w:val="a3"/>
        <w:ind w:left="0" w:firstLine="720"/>
        <w:jc w:val="both"/>
        <w:rPr>
          <w:bCs/>
          <w:sz w:val="24"/>
          <w:szCs w:val="24"/>
        </w:rPr>
      </w:pPr>
      <w:r>
        <w:rPr>
          <w:bCs/>
          <w:sz w:val="24"/>
          <w:szCs w:val="24"/>
        </w:rPr>
        <w:t>становится публично известной в результате любых действий Передающей стороны, умышленных или неумышленных, а равно бездействия Передающей стороны;</w:t>
      </w:r>
    </w:p>
    <w:p w:rsidR="00995CB9" w:rsidRDefault="00995CB9" w:rsidP="00995CB9">
      <w:pPr>
        <w:pStyle w:val="a3"/>
        <w:ind w:left="0" w:firstLine="720"/>
        <w:jc w:val="both"/>
        <w:rPr>
          <w:bCs/>
          <w:sz w:val="24"/>
          <w:szCs w:val="24"/>
        </w:rPr>
      </w:pPr>
      <w:r>
        <w:rPr>
          <w:bCs/>
          <w:sz w:val="24"/>
          <w:szCs w:val="24"/>
        </w:rPr>
        <w:t>на законном основании получена Принимающей стороной от третьего лица без ограничений на ее использование;</w:t>
      </w:r>
    </w:p>
    <w:p w:rsidR="00995CB9" w:rsidRDefault="00995CB9" w:rsidP="00995CB9">
      <w:pPr>
        <w:pStyle w:val="a3"/>
        <w:ind w:left="0" w:firstLine="720"/>
        <w:jc w:val="both"/>
        <w:rPr>
          <w:bCs/>
          <w:sz w:val="24"/>
          <w:szCs w:val="24"/>
        </w:rPr>
      </w:pPr>
      <w:r>
        <w:rPr>
          <w:bCs/>
          <w:sz w:val="24"/>
          <w:szCs w:val="24"/>
        </w:rPr>
        <w:t>получена из общедоступных источников с указанием на эти источники;</w:t>
      </w:r>
    </w:p>
    <w:p w:rsidR="00995CB9" w:rsidRDefault="00995CB9" w:rsidP="00995CB9">
      <w:pPr>
        <w:pStyle w:val="a3"/>
        <w:ind w:left="0" w:firstLine="720"/>
        <w:jc w:val="both"/>
        <w:rPr>
          <w:bCs/>
          <w:sz w:val="24"/>
          <w:szCs w:val="24"/>
        </w:rPr>
      </w:pPr>
      <w:r>
        <w:rPr>
          <w:bCs/>
          <w:sz w:val="24"/>
          <w:szCs w:val="24"/>
        </w:rPr>
        <w:t>раскрыта для неограниченного доступа третьей стороной.</w:t>
      </w:r>
    </w:p>
    <w:p w:rsidR="00995CB9" w:rsidRDefault="00995CB9" w:rsidP="00995CB9">
      <w:pPr>
        <w:ind w:firstLine="720"/>
        <w:jc w:val="both"/>
      </w:pPr>
      <w:r>
        <w:t>3.9. В случае реорганизации или ликвидации одной из Сторон до даты прекращения действия Соглашения предусматривается следующий порядок охраны информации, составляющей коммерческую тайну:</w:t>
      </w:r>
    </w:p>
    <w:p w:rsidR="00995CB9" w:rsidRDefault="00995CB9" w:rsidP="00995CB9">
      <w:pPr>
        <w:ind w:firstLine="720"/>
        <w:jc w:val="both"/>
      </w:pPr>
      <w:r>
        <w:t>а) при реорганизации:</w:t>
      </w:r>
    </w:p>
    <w:p w:rsidR="00995CB9" w:rsidRDefault="00995CB9" w:rsidP="00995CB9">
      <w:pPr>
        <w:pStyle w:val="a3"/>
        <w:ind w:left="0" w:firstLine="720"/>
        <w:jc w:val="both"/>
        <w:rPr>
          <w:bCs/>
          <w:sz w:val="24"/>
          <w:szCs w:val="24"/>
        </w:rPr>
      </w:pPr>
      <w:r>
        <w:rPr>
          <w:bCs/>
          <w:sz w:val="24"/>
          <w:szCs w:val="24"/>
        </w:rPr>
        <w:t>уведомление второй Стороны о факте реорганизации;</w:t>
      </w:r>
    </w:p>
    <w:p w:rsidR="00995CB9" w:rsidRDefault="00995CB9" w:rsidP="00995CB9">
      <w:pPr>
        <w:pStyle w:val="a3"/>
        <w:ind w:left="0" w:firstLine="720"/>
        <w:jc w:val="both"/>
        <w:rPr>
          <w:bCs/>
          <w:sz w:val="24"/>
          <w:szCs w:val="24"/>
        </w:rPr>
      </w:pPr>
      <w:r>
        <w:rPr>
          <w:bCs/>
          <w:sz w:val="24"/>
          <w:szCs w:val="24"/>
        </w:rPr>
        <w:t>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w:t>
      </w:r>
    </w:p>
    <w:p w:rsidR="00995CB9" w:rsidRDefault="00995CB9" w:rsidP="00995CB9">
      <w:pPr>
        <w:ind w:firstLine="720"/>
        <w:jc w:val="both"/>
      </w:pPr>
      <w:r>
        <w:t>б) при ликвидации:</w:t>
      </w:r>
    </w:p>
    <w:p w:rsidR="00995CB9" w:rsidRDefault="00995CB9" w:rsidP="00995CB9">
      <w:pPr>
        <w:pStyle w:val="a3"/>
        <w:ind w:left="0" w:firstLine="720"/>
        <w:jc w:val="both"/>
        <w:rPr>
          <w:bCs/>
          <w:sz w:val="24"/>
          <w:szCs w:val="24"/>
        </w:rPr>
      </w:pPr>
      <w:r>
        <w:rPr>
          <w:bCs/>
          <w:sz w:val="24"/>
          <w:szCs w:val="24"/>
        </w:rPr>
        <w:t xml:space="preserve">возврат информации, составляющей коммерческую тайну, на всех носителях (в том числе изготовленных Принимающей стороной в соответствии с </w:t>
      </w:r>
      <w:r>
        <w:rPr>
          <w:bCs/>
          <w:sz w:val="24"/>
          <w:szCs w:val="24"/>
          <w:lang w:val="ru-RU"/>
        </w:rPr>
        <w:t>Соглашением</w:t>
      </w:r>
      <w:r>
        <w:rPr>
          <w:bCs/>
          <w:sz w:val="24"/>
          <w:szCs w:val="24"/>
        </w:rPr>
        <w:t>) Передающей стороне.</w:t>
      </w:r>
    </w:p>
    <w:p w:rsidR="00995CB9" w:rsidRDefault="00995CB9" w:rsidP="00995CB9">
      <w:pPr>
        <w:ind w:firstLine="720"/>
        <w:jc w:val="both"/>
      </w:pPr>
      <w:r>
        <w:t>3.10. Принимающей стороне известно, что 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в период после прекращения действия Соглашения.</w:t>
      </w:r>
    </w:p>
    <w:p w:rsidR="00995CB9" w:rsidRDefault="00995CB9" w:rsidP="00995CB9">
      <w:pPr>
        <w:jc w:val="center"/>
        <w:rPr>
          <w:b/>
          <w:bCs/>
        </w:rPr>
      </w:pPr>
    </w:p>
    <w:p w:rsidR="00995CB9" w:rsidRDefault="00995CB9" w:rsidP="00995CB9">
      <w:pPr>
        <w:jc w:val="center"/>
        <w:rPr>
          <w:b/>
          <w:bCs/>
        </w:rPr>
      </w:pPr>
      <w:r>
        <w:rPr>
          <w:b/>
          <w:bCs/>
        </w:rPr>
        <w:t>4. Ответственность Сторон</w:t>
      </w:r>
    </w:p>
    <w:p w:rsidR="00995CB9" w:rsidRDefault="00995CB9" w:rsidP="00995CB9">
      <w:pPr>
        <w:jc w:val="center"/>
        <w:rPr>
          <w:b/>
          <w:bCs/>
        </w:rPr>
      </w:pPr>
    </w:p>
    <w:p w:rsidR="00995CB9" w:rsidRDefault="00995CB9" w:rsidP="00995CB9">
      <w:pPr>
        <w:ind w:firstLine="720"/>
        <w:jc w:val="both"/>
      </w:pPr>
      <w:r>
        <w:t>4.1. 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Соглашения, в том числе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 а также уплатить штраф в размере 100 000 (ста тысяч) рублей.</w:t>
      </w:r>
    </w:p>
    <w:p w:rsidR="00995CB9" w:rsidRDefault="00995CB9" w:rsidP="00995CB9">
      <w:pPr>
        <w:jc w:val="both"/>
      </w:pPr>
    </w:p>
    <w:p w:rsidR="00995CB9" w:rsidRDefault="00995CB9" w:rsidP="00995CB9">
      <w:pPr>
        <w:jc w:val="center"/>
        <w:rPr>
          <w:b/>
          <w:bCs/>
        </w:rPr>
      </w:pPr>
      <w:r>
        <w:rPr>
          <w:b/>
          <w:bCs/>
        </w:rPr>
        <w:t>5. Прочие условия</w:t>
      </w:r>
    </w:p>
    <w:p w:rsidR="00995CB9" w:rsidRDefault="00995CB9" w:rsidP="00995CB9">
      <w:pPr>
        <w:jc w:val="center"/>
        <w:rPr>
          <w:b/>
          <w:bCs/>
        </w:rPr>
      </w:pPr>
    </w:p>
    <w:p w:rsidR="00995CB9" w:rsidRDefault="00995CB9" w:rsidP="00995CB9">
      <w:pPr>
        <w:ind w:firstLine="720"/>
        <w:jc w:val="both"/>
      </w:pPr>
      <w:r>
        <w:t>5.1.</w:t>
      </w:r>
      <w:r>
        <w:rPr>
          <w:i/>
        </w:rPr>
        <w:t> </w:t>
      </w:r>
      <w:r>
        <w:t>Соглашение вступает в силу с момента его подписания и действует в течение ___ лет с момента последней передачи информации, составляющей коммерческую тайну</w:t>
      </w:r>
      <w:r>
        <w:rPr>
          <w:i/>
        </w:rPr>
        <w:t>.</w:t>
      </w:r>
    </w:p>
    <w:p w:rsidR="00995CB9" w:rsidRDefault="00995CB9" w:rsidP="00995CB9">
      <w:pPr>
        <w:ind w:firstLine="720"/>
        <w:jc w:val="both"/>
      </w:pPr>
      <w:r>
        <w:t>5.2. Настоящее Соглашение подлежит юрисдикции и толкованию в соответствии с законодательством Российской Федерации.</w:t>
      </w:r>
    </w:p>
    <w:p w:rsidR="00995CB9" w:rsidRDefault="00995CB9" w:rsidP="00995CB9">
      <w:pPr>
        <w:ind w:firstLine="720"/>
        <w:jc w:val="both"/>
      </w:pPr>
      <w:r>
        <w:t>5.3. Изменение условий Соглашения, его расторжение и прекращение допускаются по соглашению Сторон. Любые дополнения или изменения, вносимые в Соглашение, рассматриваются Сторонами, оформляются дополнительным соглашением и вступают в силу с даты его подписания Сторонами, если иное не будет указано в таком дополнительном соглашении.</w:t>
      </w:r>
    </w:p>
    <w:p w:rsidR="00995CB9" w:rsidRDefault="00995CB9" w:rsidP="00995CB9">
      <w:pPr>
        <w:tabs>
          <w:tab w:val="left" w:pos="1134"/>
        </w:tabs>
        <w:ind w:firstLine="709"/>
        <w:rPr>
          <w:color w:val="000000"/>
        </w:rPr>
      </w:pPr>
      <w:r>
        <w:t>5.4. </w:t>
      </w:r>
      <w:r>
        <w:rPr>
          <w:color w:val="000000"/>
        </w:rPr>
        <w:t>Любой спор, разногласие, претензия или требование, вытекающие из настоящего Соглашения и возникающие в связи с ним, в том числе связанные с его нарушением, заключением, изменением, прекращением или недействительностью, разрешаются по выбору истца:</w:t>
      </w:r>
    </w:p>
    <w:p w:rsidR="00995CB9" w:rsidRDefault="00995CB9" w:rsidP="00995CB9">
      <w:pPr>
        <w:ind w:firstLine="709"/>
        <w:rPr>
          <w:color w:val="000000"/>
        </w:rPr>
      </w:pPr>
      <w:r>
        <w:rPr>
          <w:color w:val="000000"/>
        </w:rPr>
        <w:lastRenderedPageBreak/>
        <w:t>1)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положениями Арбитражного регламента.</w:t>
      </w:r>
    </w:p>
    <w:p w:rsidR="00995CB9" w:rsidRDefault="00995CB9" w:rsidP="00995CB9">
      <w:pPr>
        <w:ind w:firstLine="709"/>
        <w:rPr>
          <w:color w:val="000000"/>
        </w:rPr>
      </w:pPr>
      <w:r>
        <w:rPr>
          <w:color w:val="000000"/>
        </w:rPr>
        <w:t>Стороны соглашаются, что для целей направления письменных заявлений, сообщений и иных письменных документов будут использоваться следующие адреса электронной почты:</w:t>
      </w:r>
    </w:p>
    <w:p w:rsidR="00995CB9" w:rsidRDefault="00995CB9" w:rsidP="00995CB9">
      <w:pPr>
        <w:ind w:firstLine="709"/>
        <w:rPr>
          <w:color w:val="000000"/>
        </w:rPr>
      </w:pPr>
      <w:r>
        <w:rPr>
          <w:color w:val="000000"/>
        </w:rPr>
        <w:t>[</w:t>
      </w:r>
      <w:r>
        <w:rPr>
          <w:b/>
          <w:bCs/>
          <w:i/>
          <w:iCs/>
          <w:color w:val="000000"/>
        </w:rPr>
        <w:t>наименование Стороны</w:t>
      </w:r>
      <w:r>
        <w:rPr>
          <w:color w:val="000000"/>
        </w:rPr>
        <w:t>]: [</w:t>
      </w:r>
      <w:r>
        <w:rPr>
          <w:i/>
          <w:iCs/>
          <w:color w:val="000000"/>
        </w:rPr>
        <w:t>адрес электронной почты</w:t>
      </w:r>
      <w:r>
        <w:rPr>
          <w:color w:val="000000"/>
        </w:rPr>
        <w:t>];</w:t>
      </w:r>
    </w:p>
    <w:p w:rsidR="00995CB9" w:rsidRDefault="00995CB9" w:rsidP="00995CB9">
      <w:pPr>
        <w:ind w:firstLine="709"/>
        <w:rPr>
          <w:color w:val="000000"/>
        </w:rPr>
      </w:pPr>
      <w:r>
        <w:rPr>
          <w:color w:val="000000"/>
        </w:rPr>
        <w:t>[</w:t>
      </w:r>
      <w:r>
        <w:rPr>
          <w:b/>
          <w:bCs/>
          <w:i/>
          <w:iCs/>
          <w:color w:val="000000"/>
        </w:rPr>
        <w:t>наименование Стороны</w:t>
      </w:r>
      <w:r>
        <w:rPr>
          <w:color w:val="000000"/>
        </w:rPr>
        <w:t>]: [</w:t>
      </w:r>
      <w:r>
        <w:rPr>
          <w:i/>
          <w:iCs/>
          <w:color w:val="000000"/>
        </w:rPr>
        <w:t>адрес электронной почты</w:t>
      </w:r>
      <w:r>
        <w:rPr>
          <w:color w:val="000000"/>
        </w:rPr>
        <w:t>].</w:t>
      </w:r>
    </w:p>
    <w:p w:rsidR="00995CB9" w:rsidRDefault="00995CB9" w:rsidP="00995CB9">
      <w:pPr>
        <w:ind w:firstLine="709"/>
        <w:rPr>
          <w:color w:val="000000"/>
        </w:rPr>
      </w:pPr>
      <w:r>
        <w:rPr>
          <w:color w:val="000000"/>
        </w:rPr>
        <w:t>В случае изменения указанного выше адреса электронной почты Сторона обязуется незамедлительно сообщить о таком изменении другой Стороне, а в случае, если арбитраж уже начат, также Российскому арбитражному центру при автономной некоммерческой организации «Российский институт современного арбитража».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rsidR="00995CB9" w:rsidRDefault="00995CB9" w:rsidP="00995CB9">
      <w:pPr>
        <w:ind w:firstLine="709"/>
        <w:rPr>
          <w:color w:val="000000"/>
        </w:rPr>
      </w:pPr>
      <w:r>
        <w:rPr>
          <w:color w:val="000000"/>
        </w:rPr>
        <w:t>Стороны принимают на себя обязанность добровольно исполнять арбитражное решение.</w:t>
      </w:r>
    </w:p>
    <w:p w:rsidR="00995CB9" w:rsidRDefault="00995CB9" w:rsidP="00995CB9">
      <w:pPr>
        <w:ind w:firstLine="709"/>
        <w:rPr>
          <w:color w:val="000000"/>
        </w:rPr>
      </w:pPr>
      <w:r>
        <w:rPr>
          <w:color w:val="000000"/>
        </w:rPr>
        <w:t>Решение, вынесенное по итогам арбитража, является окончательным для Сторон и отмене не подлежит.</w:t>
      </w:r>
    </w:p>
    <w:p w:rsidR="00995CB9" w:rsidRDefault="00995CB9" w:rsidP="00995CB9">
      <w:pPr>
        <w:ind w:firstLine="709"/>
      </w:pPr>
      <w:r>
        <w:t>В случаях, предусмотренных главой 7 Регламента Российского арбитражного центра при автономной некоммерческой организации «Российский институт современного арбитража», Сторонами может быть заключено соглашение о рассмотрении спора в рамках ускоренной процедуры арбитража.</w:t>
      </w:r>
    </w:p>
    <w:p w:rsidR="00995CB9" w:rsidRDefault="00995CB9" w:rsidP="00995CB9">
      <w:pPr>
        <w:ind w:firstLine="709"/>
        <w:rPr>
          <w:i/>
          <w:color w:val="000000"/>
        </w:rPr>
      </w:pPr>
      <w:r>
        <w:rPr>
          <w:i/>
          <w:color w:val="000000"/>
        </w:rPr>
        <w:t>либо</w:t>
      </w:r>
    </w:p>
    <w:p w:rsidR="00995CB9" w:rsidRDefault="00995CB9" w:rsidP="00995CB9">
      <w:pPr>
        <w:ind w:firstLine="709"/>
      </w:pPr>
      <w:r>
        <w:rPr>
          <w:color w:val="000000"/>
        </w:rPr>
        <w:t>2) </w:t>
      </w:r>
      <w:r>
        <w:t>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rsidR="00995CB9" w:rsidRDefault="00995CB9" w:rsidP="00995CB9">
      <w:pPr>
        <w:tabs>
          <w:tab w:val="left" w:pos="1134"/>
        </w:tabs>
        <w:ind w:firstLine="709"/>
        <w:jc w:val="both"/>
      </w:pPr>
      <w:r>
        <w:t>5.5. Права и обязанности по Соглашению не подлежат переуступке третьим лицам без письменного согласия Сторон.</w:t>
      </w:r>
    </w:p>
    <w:p w:rsidR="00995CB9" w:rsidRDefault="00995CB9" w:rsidP="00995CB9">
      <w:pPr>
        <w:ind w:firstLine="720"/>
        <w:jc w:val="both"/>
        <w:rPr>
          <w:bCs/>
        </w:rPr>
      </w:pPr>
      <w:r>
        <w:rPr>
          <w:bCs/>
        </w:rPr>
        <w:t>5.6. В случае изменения юридического адреса, расчетного счета или обслуживающего банка Стороны обязаны в 10-дневный срок уведомить об этом друг друга.</w:t>
      </w:r>
    </w:p>
    <w:p w:rsidR="00995CB9" w:rsidRDefault="00995CB9" w:rsidP="00995CB9">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5.7. Соглашение составлено и подписано в двух экземплярах, имеющих равную юридическую силу – по одному для каждой из Сторон</w:t>
      </w:r>
      <w:r>
        <w:rPr>
          <w:rFonts w:ascii="Times New Roman" w:hAnsi="Times New Roman" w:cs="Times New Roman"/>
          <w:i/>
          <w:sz w:val="24"/>
          <w:szCs w:val="24"/>
        </w:rPr>
        <w:t>.</w:t>
      </w:r>
    </w:p>
    <w:p w:rsidR="00995CB9" w:rsidRDefault="00995CB9" w:rsidP="00995CB9">
      <w:pPr>
        <w:jc w:val="both"/>
      </w:pPr>
    </w:p>
    <w:p w:rsidR="00995CB9" w:rsidRDefault="00995CB9" w:rsidP="00995CB9">
      <w:pPr>
        <w:jc w:val="both"/>
      </w:pPr>
    </w:p>
    <w:p w:rsidR="00995CB9" w:rsidRDefault="00995CB9" w:rsidP="00995CB9">
      <w:pPr>
        <w:jc w:val="both"/>
      </w:pPr>
    </w:p>
    <w:p w:rsidR="00995CB9" w:rsidRDefault="00995CB9" w:rsidP="00995CB9">
      <w:pPr>
        <w:jc w:val="both"/>
      </w:pPr>
      <w:r>
        <w:t>Адреса и реквизиты Сторон</w:t>
      </w:r>
    </w:p>
    <w:p w:rsidR="00995CB9" w:rsidRDefault="00995CB9" w:rsidP="00995CB9">
      <w:r>
        <w:t>Подписи Сторон</w:t>
      </w:r>
    </w:p>
    <w:p w:rsidR="00461DEC" w:rsidRDefault="00461DEC" w:rsidP="00995CB9"/>
    <w:sectPr w:rsidR="00461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32968"/>
    <w:multiLevelType w:val="multilevel"/>
    <w:tmpl w:val="0D608F1A"/>
    <w:lvl w:ilvl="0">
      <w:start w:val="1"/>
      <w:numFmt w:val="decimal"/>
      <w:pStyle w:val="1"/>
      <w:lvlText w:val="%1"/>
      <w:lvlJc w:val="left"/>
      <w:pPr>
        <w:ind w:left="432" w:hanging="432"/>
      </w:pPr>
      <w:rPr>
        <w:rFonts w:hint="default"/>
      </w:rPr>
    </w:lvl>
    <w:lvl w:ilvl="1">
      <w:start w:val="1"/>
      <w:numFmt w:val="decimal"/>
      <w:pStyle w:val="2"/>
      <w:lvlText w:val="%1.%2"/>
      <w:lvlJc w:val="left"/>
      <w:pPr>
        <w:ind w:left="15461" w:hanging="576"/>
      </w:pPr>
      <w:rPr>
        <w:rFonts w:hint="default"/>
      </w:rPr>
    </w:lvl>
    <w:lvl w:ilvl="2">
      <w:start w:val="1"/>
      <w:numFmt w:val="decimal"/>
      <w:pStyle w:val="3"/>
      <w:lvlText w:val="%1.%23.%3"/>
      <w:lvlJc w:val="left"/>
      <w:pPr>
        <w:ind w:left="3556"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6D"/>
    <w:rsid w:val="00262D2A"/>
    <w:rsid w:val="00461DEC"/>
    <w:rsid w:val="005540BE"/>
    <w:rsid w:val="005F2A6D"/>
    <w:rsid w:val="00722AAA"/>
    <w:rsid w:val="008B7CA8"/>
    <w:rsid w:val="00995CB9"/>
    <w:rsid w:val="00B6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C85BB-61A4-42D8-AC7F-D6703E50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C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5CB9"/>
    <w:pPr>
      <w:keepNext/>
      <w:keepLines/>
      <w:widowControl w:val="0"/>
      <w:numPr>
        <w:numId w:val="1"/>
      </w:numPr>
      <w:autoSpaceDE w:val="0"/>
      <w:autoSpaceDN w:val="0"/>
      <w:adjustRightInd w:val="0"/>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995CB9"/>
    <w:pPr>
      <w:keepNext/>
      <w:keepLines/>
      <w:widowControl w:val="0"/>
      <w:numPr>
        <w:ilvl w:val="1"/>
        <w:numId w:val="1"/>
      </w:numPr>
      <w:autoSpaceDE w:val="0"/>
      <w:autoSpaceDN w:val="0"/>
      <w:adjustRightInd w:val="0"/>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995CB9"/>
    <w:pPr>
      <w:keepNext/>
      <w:keepLines/>
      <w:widowControl w:val="0"/>
      <w:numPr>
        <w:ilvl w:val="2"/>
        <w:numId w:val="1"/>
      </w:numPr>
      <w:autoSpaceDE w:val="0"/>
      <w:autoSpaceDN w:val="0"/>
      <w:adjustRightInd w:val="0"/>
      <w:spacing w:before="200"/>
      <w:ind w:left="720"/>
      <w:outlineLvl w:val="2"/>
    </w:pPr>
    <w:rPr>
      <w:rFonts w:ascii="Cambria" w:hAnsi="Cambria"/>
      <w:b/>
      <w:bCs/>
      <w:color w:val="4F81BD"/>
      <w:sz w:val="20"/>
      <w:szCs w:val="20"/>
    </w:rPr>
  </w:style>
  <w:style w:type="paragraph" w:styleId="4">
    <w:name w:val="heading 4"/>
    <w:basedOn w:val="a"/>
    <w:next w:val="a"/>
    <w:link w:val="40"/>
    <w:uiPriority w:val="9"/>
    <w:unhideWhenUsed/>
    <w:qFormat/>
    <w:rsid w:val="00995CB9"/>
    <w:pPr>
      <w:keepNext/>
      <w:keepLines/>
      <w:widowControl w:val="0"/>
      <w:numPr>
        <w:ilvl w:val="3"/>
        <w:numId w:val="1"/>
      </w:numPr>
      <w:autoSpaceDE w:val="0"/>
      <w:autoSpaceDN w:val="0"/>
      <w:adjustRightInd w:val="0"/>
      <w:spacing w:before="20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995CB9"/>
    <w:pPr>
      <w:keepNext/>
      <w:keepLines/>
      <w:widowControl w:val="0"/>
      <w:numPr>
        <w:ilvl w:val="4"/>
        <w:numId w:val="1"/>
      </w:numPr>
      <w:autoSpaceDE w:val="0"/>
      <w:autoSpaceDN w:val="0"/>
      <w:adjustRightInd w:val="0"/>
      <w:spacing w:before="200"/>
      <w:outlineLvl w:val="4"/>
    </w:pPr>
    <w:rPr>
      <w:rFonts w:ascii="Cambria" w:hAnsi="Cambria"/>
      <w:color w:val="243F60"/>
      <w:sz w:val="20"/>
      <w:szCs w:val="20"/>
    </w:rPr>
  </w:style>
  <w:style w:type="paragraph" w:styleId="6">
    <w:name w:val="heading 6"/>
    <w:basedOn w:val="a"/>
    <w:next w:val="a"/>
    <w:link w:val="60"/>
    <w:uiPriority w:val="9"/>
    <w:semiHidden/>
    <w:unhideWhenUsed/>
    <w:qFormat/>
    <w:rsid w:val="00995CB9"/>
    <w:pPr>
      <w:keepNext/>
      <w:keepLines/>
      <w:widowControl w:val="0"/>
      <w:numPr>
        <w:ilvl w:val="5"/>
        <w:numId w:val="1"/>
      </w:numPr>
      <w:autoSpaceDE w:val="0"/>
      <w:autoSpaceDN w:val="0"/>
      <w:adjustRightInd w:val="0"/>
      <w:spacing w:before="200"/>
      <w:outlineLvl w:val="5"/>
    </w:pPr>
    <w:rPr>
      <w:rFonts w:ascii="Cambria" w:hAnsi="Cambria"/>
      <w:i/>
      <w:iCs/>
      <w:color w:val="243F60"/>
      <w:sz w:val="20"/>
      <w:szCs w:val="20"/>
    </w:rPr>
  </w:style>
  <w:style w:type="paragraph" w:styleId="7">
    <w:name w:val="heading 7"/>
    <w:basedOn w:val="a"/>
    <w:next w:val="a"/>
    <w:link w:val="70"/>
    <w:uiPriority w:val="9"/>
    <w:semiHidden/>
    <w:unhideWhenUsed/>
    <w:qFormat/>
    <w:rsid w:val="00995CB9"/>
    <w:pPr>
      <w:keepNext/>
      <w:keepLines/>
      <w:widowControl w:val="0"/>
      <w:numPr>
        <w:ilvl w:val="6"/>
        <w:numId w:val="1"/>
      </w:numPr>
      <w:autoSpaceDE w:val="0"/>
      <w:autoSpaceDN w:val="0"/>
      <w:adjustRightInd w:val="0"/>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995CB9"/>
    <w:pPr>
      <w:keepNext/>
      <w:keepLines/>
      <w:widowControl w:val="0"/>
      <w:numPr>
        <w:ilvl w:val="7"/>
        <w:numId w:val="1"/>
      </w:numPr>
      <w:autoSpaceDE w:val="0"/>
      <w:autoSpaceDN w:val="0"/>
      <w:adjustRightInd w:val="0"/>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995CB9"/>
    <w:pPr>
      <w:keepNext/>
      <w:keepLines/>
      <w:widowControl w:val="0"/>
      <w:numPr>
        <w:ilvl w:val="8"/>
        <w:numId w:val="1"/>
      </w:numPr>
      <w:autoSpaceDE w:val="0"/>
      <w:autoSpaceDN w:val="0"/>
      <w:adjustRightInd w:val="0"/>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CB9"/>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995CB9"/>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995CB9"/>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rsid w:val="00995CB9"/>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rsid w:val="00995CB9"/>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
    <w:semiHidden/>
    <w:rsid w:val="00995CB9"/>
    <w:rPr>
      <w:rFonts w:ascii="Cambria" w:eastAsia="Times New Roman" w:hAnsi="Cambria" w:cs="Times New Roman"/>
      <w:i/>
      <w:iCs/>
      <w:color w:val="243F60"/>
      <w:sz w:val="20"/>
      <w:szCs w:val="20"/>
      <w:lang w:eastAsia="ru-RU"/>
    </w:rPr>
  </w:style>
  <w:style w:type="character" w:customStyle="1" w:styleId="70">
    <w:name w:val="Заголовок 7 Знак"/>
    <w:basedOn w:val="a0"/>
    <w:link w:val="7"/>
    <w:uiPriority w:val="9"/>
    <w:semiHidden/>
    <w:rsid w:val="00995CB9"/>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995CB9"/>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995CB9"/>
    <w:rPr>
      <w:rFonts w:ascii="Cambria" w:eastAsia="Times New Roman" w:hAnsi="Cambria" w:cs="Times New Roman"/>
      <w:i/>
      <w:iCs/>
      <w:color w:val="404040"/>
      <w:sz w:val="20"/>
      <w:szCs w:val="20"/>
      <w:lang w:eastAsia="ru-RU"/>
    </w:rPr>
  </w:style>
  <w:style w:type="paragraph" w:styleId="a3">
    <w:name w:val="List Paragraph"/>
    <w:basedOn w:val="a"/>
    <w:link w:val="a4"/>
    <w:uiPriority w:val="99"/>
    <w:qFormat/>
    <w:rsid w:val="00995CB9"/>
    <w:pPr>
      <w:widowControl w:val="0"/>
      <w:autoSpaceDE w:val="0"/>
      <w:autoSpaceDN w:val="0"/>
      <w:adjustRightInd w:val="0"/>
      <w:ind w:left="720"/>
      <w:contextualSpacing/>
    </w:pPr>
    <w:rPr>
      <w:sz w:val="20"/>
      <w:szCs w:val="20"/>
      <w:lang w:val="x-none" w:eastAsia="x-none"/>
    </w:rPr>
  </w:style>
  <w:style w:type="character" w:customStyle="1" w:styleId="a4">
    <w:name w:val="Абзац списка Знак"/>
    <w:link w:val="a3"/>
    <w:uiPriority w:val="99"/>
    <w:locked/>
    <w:rsid w:val="00995CB9"/>
    <w:rPr>
      <w:rFonts w:ascii="Times New Roman" w:eastAsia="Times New Roman" w:hAnsi="Times New Roman" w:cs="Times New Roman"/>
      <w:sz w:val="20"/>
      <w:szCs w:val="20"/>
      <w:lang w:val="x-none" w:eastAsia="x-none"/>
    </w:rPr>
  </w:style>
  <w:style w:type="paragraph" w:customStyle="1" w:styleId="ConsPlusNonformat">
    <w:name w:val="ConsPlusNonformat"/>
    <w:rsid w:val="00995CB9"/>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1681</Words>
  <Characters>9587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Шерстюк Дмитрий Александрович</dc:creator>
  <cp:keywords/>
  <dc:description/>
  <cp:lastModifiedBy>Артамонова Татьяна Юрьевна</cp:lastModifiedBy>
  <cp:revision>7</cp:revision>
  <dcterms:created xsi:type="dcterms:W3CDTF">2020-09-24T08:21:00Z</dcterms:created>
  <dcterms:modified xsi:type="dcterms:W3CDTF">2024-01-22T03:58:00Z</dcterms:modified>
</cp:coreProperties>
</file>